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4E406F42" w14:textId="77777777" w:rsidR="006F2E08" w:rsidRPr="006D262F" w:rsidRDefault="006F2E08" w:rsidP="006F2E08">
            <w:pPr>
              <w:rPr>
                <w:rFonts w:ascii="Arial" w:hAnsi="Arial" w:cs="Arial"/>
                <w:b/>
                <w:bCs/>
              </w:rPr>
            </w:pPr>
            <w:r w:rsidRPr="006D262F">
              <w:rPr>
                <w:rFonts w:ascii="Arial" w:hAnsi="Arial" w:cs="Arial"/>
                <w:b/>
                <w:bCs/>
              </w:rPr>
              <w:t>Jantzen &amp; Lund, Advokatanpartsselskab</w:t>
            </w:r>
          </w:p>
          <w:p w14:paraId="18F92486" w14:textId="77777777" w:rsidR="006F2E08" w:rsidRPr="006D262F" w:rsidRDefault="006F2E08" w:rsidP="006F2E08">
            <w:pPr>
              <w:rPr>
                <w:rFonts w:ascii="Arial" w:hAnsi="Arial" w:cs="Arial"/>
              </w:rPr>
            </w:pPr>
            <w:r w:rsidRPr="006D262F">
              <w:rPr>
                <w:rFonts w:ascii="Arial" w:hAnsi="Arial" w:cs="Arial"/>
              </w:rPr>
              <w:t>Flodvej 73, C Smørumnedre</w:t>
            </w:r>
            <w:r w:rsidRPr="006D262F">
              <w:rPr>
                <w:rFonts w:ascii="Arial" w:hAnsi="Arial" w:cs="Arial"/>
              </w:rPr>
              <w:br/>
              <w:t>2765 Smørum</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0A95BCD8" w:rsidR="008A33F1" w:rsidRPr="00C334AE" w:rsidRDefault="006F2E08" w:rsidP="00097772">
            <w:pPr>
              <w:jc w:val="right"/>
              <w:rPr>
                <w:rFonts w:ascii="Arial" w:hAnsi="Arial" w:cs="Arial"/>
                <w:b/>
              </w:rPr>
            </w:pPr>
            <w:r>
              <w:rPr>
                <w:noProof/>
              </w:rPr>
              <w:drawing>
                <wp:inline distT="0" distB="0" distL="0" distR="0" wp14:anchorId="2D7A581A" wp14:editId="4992A8AC">
                  <wp:extent cx="1943100" cy="582930"/>
                  <wp:effectExtent l="0" t="0" r="0" b="7620"/>
                  <wp:docPr id="703144338"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653" cy="584896"/>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73D73D02" w14:textId="77777777" w:rsidR="006F2E08" w:rsidRPr="006D262F" w:rsidRDefault="006F2E08" w:rsidP="006F2E08">
            <w:pPr>
              <w:rPr>
                <w:rFonts w:ascii="Arial" w:hAnsi="Arial" w:cs="Arial"/>
                <w:b/>
                <w:bCs/>
              </w:rPr>
            </w:pPr>
            <w:r w:rsidRPr="006D262F">
              <w:rPr>
                <w:rFonts w:ascii="Arial" w:hAnsi="Arial" w:cs="Arial"/>
                <w:b/>
                <w:bCs/>
              </w:rPr>
              <w:t>Jantzen &amp; Lund, Advokatanpartsselskab</w:t>
            </w:r>
          </w:p>
          <w:p w14:paraId="234C6260" w14:textId="77777777" w:rsidR="006F2E08" w:rsidRPr="006D262F" w:rsidRDefault="006F2E08" w:rsidP="006F2E08">
            <w:pPr>
              <w:rPr>
                <w:rFonts w:ascii="Arial" w:hAnsi="Arial" w:cs="Arial"/>
              </w:rPr>
            </w:pPr>
            <w:r w:rsidRPr="006D262F">
              <w:rPr>
                <w:rFonts w:ascii="Arial" w:hAnsi="Arial" w:cs="Arial"/>
              </w:rPr>
              <w:t>Flodvej 73, C Smørumnedre</w:t>
            </w:r>
            <w:r w:rsidRPr="006D262F">
              <w:rPr>
                <w:rFonts w:ascii="Arial" w:hAnsi="Arial" w:cs="Arial"/>
              </w:rPr>
              <w:br/>
              <w:t>2765 Smørum</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1DC42C6E"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6F2E08">
              <w:rPr>
                <w:noProof/>
              </w:rPr>
              <w:drawing>
                <wp:inline distT="0" distB="0" distL="0" distR="0" wp14:anchorId="09E93422" wp14:editId="5281AA5B">
                  <wp:extent cx="1943100" cy="582930"/>
                  <wp:effectExtent l="0" t="0" r="0" b="7620"/>
                  <wp:docPr id="190765442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653" cy="584896"/>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1DB6881C" w14:textId="77777777" w:rsidR="006F2E08" w:rsidRPr="006D262F" w:rsidRDefault="006F2E08" w:rsidP="006F2E08">
            <w:pPr>
              <w:rPr>
                <w:rFonts w:ascii="Arial" w:hAnsi="Arial" w:cs="Arial"/>
                <w:b/>
                <w:bCs/>
              </w:rPr>
            </w:pPr>
            <w:r w:rsidRPr="006D262F">
              <w:rPr>
                <w:rFonts w:ascii="Arial" w:hAnsi="Arial" w:cs="Arial"/>
                <w:b/>
                <w:bCs/>
              </w:rPr>
              <w:t>Jantzen &amp; Lund, Advokatanpartsselskab</w:t>
            </w:r>
          </w:p>
          <w:p w14:paraId="7E906519" w14:textId="77777777" w:rsidR="006F2E08" w:rsidRPr="006D262F" w:rsidRDefault="006F2E08" w:rsidP="006F2E08">
            <w:pPr>
              <w:rPr>
                <w:rFonts w:ascii="Arial" w:hAnsi="Arial" w:cs="Arial"/>
              </w:rPr>
            </w:pPr>
            <w:r w:rsidRPr="006D262F">
              <w:rPr>
                <w:rFonts w:ascii="Arial" w:hAnsi="Arial" w:cs="Arial"/>
              </w:rPr>
              <w:t>Flodvej 73, C Smørumnedre</w:t>
            </w:r>
            <w:r w:rsidRPr="006D262F">
              <w:rPr>
                <w:rFonts w:ascii="Arial" w:hAnsi="Arial" w:cs="Arial"/>
              </w:rPr>
              <w:br/>
              <w:t>2765 Smørum</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5139F18" w:rsidR="008A33F1" w:rsidRPr="00C334AE" w:rsidRDefault="006F2E08" w:rsidP="008A33F1">
            <w:pPr>
              <w:jc w:val="right"/>
              <w:rPr>
                <w:rFonts w:ascii="Arial" w:hAnsi="Arial" w:cs="Arial"/>
                <w:b/>
              </w:rPr>
            </w:pPr>
            <w:r>
              <w:rPr>
                <w:noProof/>
              </w:rPr>
              <w:drawing>
                <wp:inline distT="0" distB="0" distL="0" distR="0" wp14:anchorId="6CCB49B6" wp14:editId="4DD7BDD5">
                  <wp:extent cx="1943100" cy="582930"/>
                  <wp:effectExtent l="0" t="0" r="0" b="7620"/>
                  <wp:docPr id="74305064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653" cy="584896"/>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5BCB5F2D" w14:textId="77777777" w:rsidR="006F2E08" w:rsidRPr="006D262F" w:rsidRDefault="006F2E08" w:rsidP="006F2E08">
            <w:pPr>
              <w:rPr>
                <w:rFonts w:ascii="Arial" w:hAnsi="Arial" w:cs="Arial"/>
                <w:b/>
                <w:bCs/>
              </w:rPr>
            </w:pPr>
            <w:r w:rsidRPr="006D262F">
              <w:rPr>
                <w:rFonts w:ascii="Arial" w:hAnsi="Arial" w:cs="Arial"/>
                <w:b/>
                <w:bCs/>
              </w:rPr>
              <w:t>Jantzen &amp; Lund, Advokatanpartsselskab</w:t>
            </w:r>
          </w:p>
          <w:p w14:paraId="240F399C" w14:textId="77777777" w:rsidR="006F2E08" w:rsidRPr="006D262F" w:rsidRDefault="006F2E08" w:rsidP="006F2E08">
            <w:pPr>
              <w:rPr>
                <w:rFonts w:ascii="Arial" w:hAnsi="Arial" w:cs="Arial"/>
              </w:rPr>
            </w:pPr>
            <w:r w:rsidRPr="006D262F">
              <w:rPr>
                <w:rFonts w:ascii="Arial" w:hAnsi="Arial" w:cs="Arial"/>
              </w:rPr>
              <w:t>Flodvej 73, C Smørumnedre</w:t>
            </w:r>
            <w:r w:rsidRPr="006D262F">
              <w:rPr>
                <w:rFonts w:ascii="Arial" w:hAnsi="Arial" w:cs="Arial"/>
              </w:rPr>
              <w:br/>
              <w:t>2765 Smørum</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6AA25467" w:rsidR="00D555AD" w:rsidRPr="00C334AE" w:rsidRDefault="006F2E08" w:rsidP="00097772">
            <w:pPr>
              <w:jc w:val="right"/>
              <w:rPr>
                <w:rFonts w:ascii="Arial" w:hAnsi="Arial" w:cs="Arial"/>
                <w:b/>
              </w:rPr>
            </w:pPr>
            <w:r>
              <w:rPr>
                <w:noProof/>
              </w:rPr>
              <w:drawing>
                <wp:inline distT="0" distB="0" distL="0" distR="0" wp14:anchorId="708CD0DA" wp14:editId="65352870">
                  <wp:extent cx="1943100" cy="582930"/>
                  <wp:effectExtent l="0" t="0" r="0" b="7620"/>
                  <wp:docPr id="749141297"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9653" cy="584896"/>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5F5ACA"/>
    <w:rsid w:val="006029BD"/>
    <w:rsid w:val="006170AA"/>
    <w:rsid w:val="00624CBD"/>
    <w:rsid w:val="0063503A"/>
    <w:rsid w:val="006C1A37"/>
    <w:rsid w:val="006F2E08"/>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Words>
  <Characters>1417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2026-02-18T10:37:00Z</dcterms:created>
  <dcterms:modified xsi:type="dcterms:W3CDTF">2026-02-18T10:37:00Z</dcterms:modified>
</cp:coreProperties>
</file>