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2D350E6B" w14:textId="1517AA22" w:rsidR="00F8788F" w:rsidRPr="00ED170E" w:rsidRDefault="00BE3056" w:rsidP="00F8788F">
            <w:pPr>
              <w:rPr>
                <w:rFonts w:ascii="Arial" w:hAnsi="Arial" w:cs="Arial"/>
                <w:b/>
                <w:bCs/>
              </w:rPr>
            </w:pPr>
            <w:r>
              <w:rPr>
                <w:rFonts w:ascii="Arial" w:hAnsi="Arial" w:cs="Arial"/>
              </w:rPr>
              <w:br/>
            </w:r>
            <w:proofErr w:type="spellStart"/>
            <w:r w:rsidR="00F8788F" w:rsidRPr="00ED170E">
              <w:rPr>
                <w:rFonts w:ascii="Arial" w:hAnsi="Arial" w:cs="Arial"/>
                <w:b/>
                <w:bCs/>
              </w:rPr>
              <w:t>Komplext</w:t>
            </w:r>
            <w:proofErr w:type="spellEnd"/>
            <w:r w:rsidR="00F8788F" w:rsidRPr="00ED170E">
              <w:rPr>
                <w:rFonts w:ascii="Arial" w:hAnsi="Arial" w:cs="Arial"/>
                <w:b/>
                <w:bCs/>
              </w:rPr>
              <w:t xml:space="preserve"> Advokater P/S</w:t>
            </w:r>
          </w:p>
          <w:p w14:paraId="6776D8DD" w14:textId="77777777" w:rsidR="00F8788F" w:rsidRPr="00ED170E" w:rsidRDefault="00F8788F" w:rsidP="00F8788F">
            <w:pPr>
              <w:rPr>
                <w:rFonts w:ascii="Arial" w:hAnsi="Arial" w:cs="Arial"/>
              </w:rPr>
            </w:pPr>
            <w:r w:rsidRPr="00ED170E">
              <w:rPr>
                <w:rFonts w:ascii="Arial" w:hAnsi="Arial" w:cs="Arial"/>
              </w:rPr>
              <w:t>Vestre Havnepromenade 1, A ST TH</w:t>
            </w:r>
            <w:r w:rsidRPr="00ED170E">
              <w:rPr>
                <w:rFonts w:ascii="Arial" w:hAnsi="Arial" w:cs="Arial"/>
              </w:rPr>
              <w:br/>
              <w:t>9000 Aalborg</w:t>
            </w:r>
          </w:p>
          <w:p w14:paraId="2304FE3A" w14:textId="556A86C0" w:rsidR="00BE3056" w:rsidRPr="007B4F94" w:rsidRDefault="00BE3056" w:rsidP="00BE3056">
            <w:pPr>
              <w:rPr>
                <w:rFonts w:ascii="Arial" w:hAnsi="Arial" w:cs="Arial"/>
              </w:rPr>
            </w:pPr>
          </w:p>
        </w:tc>
        <w:tc>
          <w:tcPr>
            <w:tcW w:w="4997" w:type="dxa"/>
            <w:tcMar>
              <w:left w:w="0" w:type="dxa"/>
            </w:tcMar>
          </w:tcPr>
          <w:p w14:paraId="1199AAED" w14:textId="7F61A01B" w:rsidR="00BE3056" w:rsidRPr="00C334AE" w:rsidRDefault="00BE3056" w:rsidP="00BE3056">
            <w:pPr>
              <w:jc w:val="right"/>
              <w:rPr>
                <w:rFonts w:ascii="Arial" w:hAnsi="Arial" w:cs="Arial"/>
                <w:b/>
              </w:rPr>
            </w:pPr>
            <w:r>
              <w:rPr>
                <w:rFonts w:ascii="Arial" w:hAnsi="Arial" w:cs="Arial"/>
                <w:b/>
              </w:rPr>
              <w:br/>
            </w:r>
            <w:r w:rsidR="00F8788F">
              <w:rPr>
                <w:noProof/>
              </w:rPr>
              <w:drawing>
                <wp:inline distT="0" distB="0" distL="0" distR="0" wp14:anchorId="5F4836CD" wp14:editId="74BEB9F5">
                  <wp:extent cx="1658620" cy="499247"/>
                  <wp:effectExtent l="0" t="0" r="0" b="0"/>
                  <wp:docPr id="972703303"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3297" cy="509685"/>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C488E19" w14:textId="77777777" w:rsidR="00F8788F" w:rsidRPr="00ED170E" w:rsidRDefault="00F8788F" w:rsidP="00F8788F">
            <w:pPr>
              <w:rPr>
                <w:rFonts w:ascii="Arial" w:hAnsi="Arial" w:cs="Arial"/>
                <w:b/>
                <w:bCs/>
              </w:rPr>
            </w:pPr>
            <w:proofErr w:type="spellStart"/>
            <w:r w:rsidRPr="00ED170E">
              <w:rPr>
                <w:rFonts w:ascii="Arial" w:hAnsi="Arial" w:cs="Arial"/>
                <w:b/>
                <w:bCs/>
              </w:rPr>
              <w:t>Komplext</w:t>
            </w:r>
            <w:proofErr w:type="spellEnd"/>
            <w:r w:rsidRPr="00ED170E">
              <w:rPr>
                <w:rFonts w:ascii="Arial" w:hAnsi="Arial" w:cs="Arial"/>
                <w:b/>
                <w:bCs/>
              </w:rPr>
              <w:t xml:space="preserve"> Advokater P/S</w:t>
            </w:r>
          </w:p>
          <w:p w14:paraId="56801A64" w14:textId="77777777" w:rsidR="00F8788F" w:rsidRPr="00ED170E" w:rsidRDefault="00F8788F" w:rsidP="00F8788F">
            <w:pPr>
              <w:rPr>
                <w:rFonts w:ascii="Arial" w:hAnsi="Arial" w:cs="Arial"/>
              </w:rPr>
            </w:pPr>
            <w:r w:rsidRPr="00ED170E">
              <w:rPr>
                <w:rFonts w:ascii="Arial" w:hAnsi="Arial" w:cs="Arial"/>
              </w:rPr>
              <w:t>Vestre Havnepromenade 1, A ST TH</w:t>
            </w:r>
            <w:r w:rsidRPr="00ED170E">
              <w:rPr>
                <w:rFonts w:ascii="Arial" w:hAnsi="Arial" w:cs="Arial"/>
              </w:rPr>
              <w:br/>
              <w:t>9000 Aalborg</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5D3C3575" w:rsidR="00BA5327" w:rsidRPr="00C334AE" w:rsidRDefault="00F8788F" w:rsidP="00F26BF7">
            <w:pPr>
              <w:jc w:val="right"/>
              <w:rPr>
                <w:rFonts w:ascii="Arial" w:hAnsi="Arial" w:cs="Arial"/>
                <w:b/>
              </w:rPr>
            </w:pPr>
            <w:r>
              <w:rPr>
                <w:noProof/>
              </w:rPr>
              <w:drawing>
                <wp:inline distT="0" distB="0" distL="0" distR="0" wp14:anchorId="69DBBE2A" wp14:editId="47E69A6A">
                  <wp:extent cx="1658620" cy="499247"/>
                  <wp:effectExtent l="0" t="0" r="0" b="0"/>
                  <wp:docPr id="2070371785"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3297" cy="509685"/>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701852"/>
    <w:rsid w:val="008D0963"/>
    <w:rsid w:val="00BA5327"/>
    <w:rsid w:val="00BE3056"/>
    <w:rsid w:val="00D551C3"/>
    <w:rsid w:val="00D96CB8"/>
    <w:rsid w:val="00F47A7F"/>
    <w:rsid w:val="00F555AE"/>
    <w:rsid w:val="00F87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jpe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Words>
  <Characters>776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2025-10-10T09:43:00Z</dcterms:created>
  <dcterms:modified xsi:type="dcterms:W3CDTF">2025-10-10T09:43:00Z</dcterms:modified>
</cp:coreProperties>
</file>